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F0" w:rsidRDefault="003121F0" w:rsidP="003121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300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287020</wp:posOffset>
            </wp:positionH>
            <wp:positionV relativeFrom="page">
              <wp:posOffset>366395</wp:posOffset>
            </wp:positionV>
            <wp:extent cx="6726555" cy="1217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hAnsi="Gabriola" w:cs="Gabriola"/>
          <w:sz w:val="36"/>
          <w:szCs w:val="36"/>
        </w:rPr>
        <w:t>430 π.Χ. ∆εύτερο έτος του Πολέµου. Ο πελοποννησιακός στρα-τός λεηλατεί την ύπαιθρο της Αττικής. Οι Αθηναίοι οχυρώνονται µέσα στα τείχη της πόλης.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Το κορίτσι δεν µπορεί να καταλάβει γιατί οι άν-  πόλη έχει αλλάξει πολύ. Το κορίτσι παρατηρεί ότι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δρες της πόλης, ανάµεσά τους και ο µέγας Περι-  συχνά οι πολίτες συγκεντρώνονται στον Κερα-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19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κλής υποστηρίζουν τη συνέχισή του. Ο πόλεµος  µεικό, το µεγάλο δηµόσιο νεκροταφείο της πόλης,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19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προκαλεί δυστυχία, αρρώστιες, φέρνει φτώχια,  για να τιµήσουν τους γενναίους πολεµιστές τους,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αγριεύει τις ψυχές των ανθρώπων. Γιατί οι µεγά-  που έχασαν τη ζωή τους στη µάχη.  Επιτύµβια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19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λοι δεν το βλέπουν; Μπορεί, όπως λένε, να έχει πε-  µνηµεία στήνονται προς τιµήν τους, για να θυ-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19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ράσει  µόνο  ένας  χρόνος  που  Αθηναίοι  και  µούνται όλοι τη θυσία τους. Ο Παρθενώνας  στέ-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Σπαρτιάτες πολεµούν, και µαζί µε αυτούς άνδρες  κει σιωπηλός µάρτυρας των γεγονότων. Οι µήνες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από όλες τις ελληνικές πόλεις, όµως η ζωή στην  προχωρούν…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111125</wp:posOffset>
            </wp:positionH>
            <wp:positionV relativeFrom="paragraph">
              <wp:posOffset>61595</wp:posOffset>
            </wp:positionV>
            <wp:extent cx="6481445" cy="408749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408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3121F0" w:rsidRDefault="003121F0" w:rsidP="003121F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4"/>
          <w:szCs w:val="24"/>
        </w:rPr>
        <w:t>Εντόπισε στη σχεδιαστική αναπαράσταση τον Έσω και τον Έξω Κεραµεικό. Θα βοηθηθείς πολύ αν βρεις πρώτα τον ποταµό Ηριδανό και µετά την πύλη του ∆ιπύλου, που χώριζε τον αρχαίο δήµο στα δύο αυτά τµήµατα. Η σηµερινή Ιερά Οδός ακολουθεί τη χάραξη της αρχαίας, που βλέπεις στο χάρτη. Η κοίτη του Ηριδανού είναι ακόµη ορατή σε ορισµένα σηµεία στον αρχαιολογικό χώρο του Κεραµεικού.</w:t>
      </w:r>
    </w:p>
    <w:p w:rsidR="003121F0" w:rsidRDefault="003121F0" w:rsidP="003121F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-269240</wp:posOffset>
            </wp:positionH>
            <wp:positionV relativeFrom="paragraph">
              <wp:posOffset>24130</wp:posOffset>
            </wp:positionV>
            <wp:extent cx="7198995" cy="1228090"/>
            <wp:effectExtent l="1905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99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1F0" w:rsidRDefault="003121F0" w:rsidP="003121F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40" w:right="74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4"/>
          <w:szCs w:val="24"/>
        </w:rPr>
        <w:t xml:space="preserve">Υπάρχουν 2 εκδοχές για την προέλευση του ονόµατος «Κεραµεικός». Ο µύθος λέει ότι το όνοµά του το πήρε από τον µυθικό ήρωα Κέραµο, γιο του Θησέα και της Αριάδνης. Υπάρχει όµως και άλλη </w:t>
      </w:r>
      <w:r>
        <w:rPr>
          <w:rFonts w:ascii="Gabriola" w:hAnsi="Gabriola" w:cs="Gabriola"/>
          <w:sz w:val="24"/>
          <w:szCs w:val="24"/>
        </w:rPr>
        <w:lastRenderedPageBreak/>
        <w:t>ερµηνεία. Στην αρχαιότητα, στο δήµο αυτό και συγκεκριµένα στον Έσω Κεραµεικό υπήρχαν πολλά εργαστήρια κεραµικής.</w:t>
      </w:r>
    </w:p>
    <w:tbl>
      <w:tblPr>
        <w:tblStyle w:val="LightShading-Accent2"/>
        <w:tblW w:w="0" w:type="auto"/>
        <w:tblInd w:w="0" w:type="dxa"/>
        <w:tblLook w:val="04A0"/>
      </w:tblPr>
      <w:tblGrid>
        <w:gridCol w:w="8522"/>
      </w:tblGrid>
      <w:tr w:rsidR="002B32A4" w:rsidTr="002B32A4">
        <w:trPr>
          <w:cnfStyle w:val="100000000000"/>
        </w:trPr>
        <w:tc>
          <w:tcPr>
            <w:cnfStyle w:val="001000000000"/>
            <w:tcW w:w="8522" w:type="dxa"/>
            <w:tcBorders>
              <w:left w:val="nil"/>
              <w:right w:val="nil"/>
            </w:tcBorders>
          </w:tcPr>
          <w:p w:rsidR="002B32A4" w:rsidRPr="002B32A4" w:rsidRDefault="002B32A4">
            <w:r>
              <w:rPr>
                <w:lang w:val="en-US"/>
              </w:rPr>
              <w:t>E</w:t>
            </w:r>
            <w:r>
              <w:t>ξω Κεραμικός</w:t>
            </w:r>
          </w:p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single" w:sz="8" w:space="0" w:color="C0504D" w:themeColor="accent2"/>
              <w:right w:val="nil"/>
            </w:tcBorders>
          </w:tcPr>
          <w:p w:rsidR="002B32A4" w:rsidRDefault="002B32A4"/>
        </w:tc>
      </w:tr>
    </w:tbl>
    <w:p w:rsidR="005A755C" w:rsidRDefault="005A755C" w:rsidP="003121F0">
      <w:pPr>
        <w:rPr>
          <w:lang w:val="en-US"/>
        </w:rPr>
      </w:pPr>
    </w:p>
    <w:p w:rsidR="002B32A4" w:rsidRDefault="002B32A4" w:rsidP="003121F0">
      <w:pPr>
        <w:rPr>
          <w:lang w:val="en-US"/>
        </w:rPr>
      </w:pPr>
    </w:p>
    <w:tbl>
      <w:tblPr>
        <w:tblStyle w:val="LightShading-Accent2"/>
        <w:tblW w:w="0" w:type="auto"/>
        <w:tblInd w:w="0" w:type="dxa"/>
        <w:tblLook w:val="04A0"/>
      </w:tblPr>
      <w:tblGrid>
        <w:gridCol w:w="8522"/>
      </w:tblGrid>
      <w:tr w:rsidR="002B32A4" w:rsidTr="002B32A4">
        <w:trPr>
          <w:cnfStyle w:val="100000000000"/>
        </w:trPr>
        <w:tc>
          <w:tcPr>
            <w:cnfStyle w:val="001000000000"/>
            <w:tcW w:w="8522" w:type="dxa"/>
            <w:tcBorders>
              <w:left w:val="nil"/>
              <w:right w:val="nil"/>
            </w:tcBorders>
          </w:tcPr>
          <w:p w:rsidR="002B32A4" w:rsidRDefault="002B32A4">
            <w:r>
              <w:t>Εσω Κεραμικός</w:t>
            </w:r>
          </w:p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  <w:tcBorders>
              <w:top w:val="nil"/>
              <w:left w:val="nil"/>
              <w:bottom w:val="single" w:sz="8" w:space="0" w:color="C0504D" w:themeColor="accent2"/>
              <w:right w:val="nil"/>
            </w:tcBorders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c>
          <w:tcPr>
            <w:cnfStyle w:val="001000000000"/>
            <w:tcW w:w="8522" w:type="dxa"/>
          </w:tcPr>
          <w:p w:rsidR="002B32A4" w:rsidRDefault="002B32A4"/>
        </w:tc>
      </w:tr>
      <w:tr w:rsidR="002B32A4" w:rsidTr="002B32A4">
        <w:trPr>
          <w:cnfStyle w:val="000000100000"/>
        </w:trPr>
        <w:tc>
          <w:tcPr>
            <w:cnfStyle w:val="001000000000"/>
            <w:tcW w:w="8522" w:type="dxa"/>
          </w:tcPr>
          <w:p w:rsidR="002B32A4" w:rsidRDefault="002B32A4"/>
        </w:tc>
      </w:tr>
    </w:tbl>
    <w:p w:rsidR="002B32A4" w:rsidRPr="002B32A4" w:rsidRDefault="002B32A4" w:rsidP="003121F0">
      <w:pPr>
        <w:rPr>
          <w:lang w:val="en-US"/>
        </w:rPr>
      </w:pPr>
    </w:p>
    <w:sectPr w:rsidR="002B32A4" w:rsidRPr="002B32A4" w:rsidSect="00480A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0952"/>
    <w:rsid w:val="00280952"/>
    <w:rsid w:val="002B32A4"/>
    <w:rsid w:val="003121F0"/>
    <w:rsid w:val="00480AA1"/>
    <w:rsid w:val="005A755C"/>
    <w:rsid w:val="0098738D"/>
    <w:rsid w:val="00BB2E57"/>
    <w:rsid w:val="00FA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280952"/>
  </w:style>
  <w:style w:type="character" w:styleId="Strong">
    <w:name w:val="Strong"/>
    <w:basedOn w:val="DefaultParagraphFont"/>
    <w:uiPriority w:val="22"/>
    <w:qFormat/>
    <w:rsid w:val="005A755C"/>
    <w:rPr>
      <w:b/>
      <w:bCs/>
    </w:rPr>
  </w:style>
  <w:style w:type="character" w:customStyle="1" w:styleId="apple-converted-space">
    <w:name w:val="apple-converted-space"/>
    <w:basedOn w:val="DefaultParagraphFont"/>
    <w:rsid w:val="005A755C"/>
  </w:style>
  <w:style w:type="character" w:styleId="Hyperlink">
    <w:name w:val="Hyperlink"/>
    <w:basedOn w:val="DefaultParagraphFont"/>
    <w:uiPriority w:val="99"/>
    <w:unhideWhenUsed/>
    <w:rsid w:val="005A755C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2B32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8376">
                  <w:marLeft w:val="120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91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  <w:divsChild>
                                    <w:div w:id="117141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4</cp:revision>
  <cp:lastPrinted>2016-03-03T18:56:00Z</cp:lastPrinted>
  <dcterms:created xsi:type="dcterms:W3CDTF">2016-04-01T20:32:00Z</dcterms:created>
  <dcterms:modified xsi:type="dcterms:W3CDTF">2016-04-02T07:38:00Z</dcterms:modified>
</cp:coreProperties>
</file>